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SKULE JEREMY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W. 42ND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NASDAQ, INC.</w:t>
              </w:r>
            </w:hyperlink>
            <w:r>
              <w:rPr/>
              <w:t xml:space="preserve"> [ </w:t>
            </w:r>
            <w:r>
              <w:rPr>
                <w:rFonts w:ascii="Times;serif" w:hAnsi="Times;serif"/>
                <w:color w:val="0000FF"/>
                <w:sz w:val="24"/>
                <w:shd w:fill="FFFFFF" w:val="clear"/>
              </w:rPr>
              <w:t>NDAQ</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CSO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94.75</w:t>
            </w:r>
            <w:r>
              <w:rPr>
                <w:rFonts w:ascii="Times;serif" w:hAnsi="Times;serif"/>
                <w:color w:val="008000"/>
                <w:position w:val="7"/>
                <w:sz w:val="16"/>
                <w:sz w:val="20"/>
                <w:shd w:fill="FFFFFF" w:val="clear"/>
              </w:rPr>
              <w:t>(2)</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102,323</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sale was effected pursuant to a Rule 10b5-1(c) trading plan adopted on May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box is a weighted average price. These shares were sold in multiple transactions at prices ranging from $94.50 to $95.00, inclusive. The reporting person undertakes to provide to the Issuer, any of its security holders,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(i) 35,529 shares or units of restricted stock, of which 9,569 are vested, (ii) 63,075 shares of Common Stock underlying PSUs, 55,049 of which are vested, and (iii) 3,719 shares of Common Stock purchased under the Issuer's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 Kogan,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36565" TargetMode="External"/><Relationship Id="rId5" Type="http://schemas.openxmlformats.org/officeDocument/2006/relationships/hyperlink" Target="http://www.sec.gov/cgi-bin/browse-edgar?action=getcompany&amp;CIK=00011201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702</Words>
  <Characters>3747</Characters>
  <CharactersWithSpaces>4380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