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SKULE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CSO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92.01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98,811</w:t>
            </w:r>
            <w:r>
              <w:rPr>
                <w:rFonts w:ascii="Times;serif" w:hAnsi="Times;serif"/>
                <w:color w:val="008000"/>
                <w:position w:val="7"/>
                <w:sz w:val="16"/>
                <w:sz w:val="20"/>
                <w:shd w:fill="FFFFFF" w:val="clear"/>
              </w:rPr>
              <w:t>(2)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for taxes in connection with the settlement of an equity award previously granted under the Issuer's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(i) 34,249 shares or units of restricted stock, of which 10,570 are vested, (ii) 60,843 shares of Common Stock underlying PSUs, 52,817 of which are vested, and (iii) 3,719 shares of Common Stock purchased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565"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3437</Characters>
  <CharactersWithSpaces>4007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